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sther-7"/>
    <w:p>
      <w:pPr>
        <w:pStyle w:val="Heading1"/>
      </w:pPr>
      <w:r>
        <w:t xml:space="preserve">Homiletics Analysis: Esther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Esther 7 is the pivot chapter of the book — the hinge on which the entire narrative turns. The chapter opens with the third banquet Esther has prepared for the king and Haman, the moment long deferred from chapter 5. The king presses Esther a third time to name her petition, promising up to half the kingdom. Esther, with remarkable precision and courage, finally speaks: she is asking for her own life and the life of her people, who have been sold to destruction. She identifies Haman as the enemy who has arranged it. The king’s rage sends him out to the garden; Haman throws himself on Esther’s couch in desperate supplication; the king returns, misreads the scene as assault, and immediately orders Haman’s execution. Haman is hanged on the very gallows he built for Mordecai, and the king’s fury subsides.</w:t>
      </w:r>
    </w:p>
    <w:p>
      <w:pPr>
        <w:pStyle w:val="BodyText"/>
      </w:pPr>
      <w:r>
        <w:t xml:space="preserve">Structurally, the chapter unfolds in three tight movements: the petition and accusation (vv. 1–6), the king’s wrath and Haman’s fatal blunder (vv. 7–8), and the execution and resolution (vv. 9–10). Every element of Haman’s scheme reverses: the gallows he erected, the destruction he planned, the power he wielded — all turn back on him. The reversal is total, ironic, and swift.</w:t>
      </w:r>
    </w:p>
    <w:p>
      <w:pPr>
        <w:pStyle w:val="BodyText"/>
      </w:pPr>
      <w:r>
        <w:rPr>
          <w:b/>
          <w:bCs/>
        </w:rPr>
        <w:t xml:space="preserve">This Text — Intent</w:t>
      </w:r>
    </w:p>
    <w:p>
      <w:pPr>
        <w:pStyle w:val="BodyText"/>
      </w:pPr>
      <w:r>
        <w:t xml:space="preserve">God — whose name never appears in the book of Esther — is demonstrating that no scheme against His people can stand. The intent of this chapter is to produce confident trust in divine providence: that the God who governs history governs it in favor of His people, that what the enemy constructs for destruction will be turned to deliverance, and that those who would destroy God’s covenant people will be undone by the very mechanisms of their own malice. The chapter calls readers to courageous, faithful action in the confidence that God’s purposes are not subject to human schemes — and to worship of the God who governs invisibly but sovereignly over every circumstance.</w:t>
      </w:r>
    </w:p>
    <w:p>
      <w:r>
        <w:pict>
          <v:rect style="width:0;height:1.5pt" o:hralign="center" o:hrstd="t" o:hr="t"/>
        </w:pict>
      </w:r>
    </w:p>
    <w:p>
      <w:pPr>
        <w:pStyle w:val="FirstParagraph"/>
      </w:pPr>
      <w:r>
        <w:rPr>
          <w:b/>
          <w:bCs/>
        </w:rPr>
        <w:t xml:space="preserve">Subject Sentence:</w:t>
      </w:r>
      <w:r>
        <w:t xml:space="preserve"> </w:t>
      </w:r>
      <w:r>
        <w:t xml:space="preserve">God’s reversal of Haman’s plot vindicates His people and destroys their destroyer.</w:t>
      </w:r>
    </w:p>
    <w:p>
      <w:r>
        <w:pict>
          <v:rect style="width:0;height:1.5pt" o:hralign="center" o:hrstd="t" o:hr="t"/>
        </w:pict>
      </w:r>
    </w:p>
    <w:p>
      <w:pPr>
        <w:pStyle w:val="FirstParagraph"/>
      </w:pPr>
      <w:r>
        <w:rPr>
          <w:b/>
          <w:bCs/>
        </w:rPr>
        <w:t xml:space="preserve">Primary Claim:</w:t>
      </w:r>
      <w:r>
        <w:t xml:space="preserve"> </w:t>
      </w:r>
      <w:r>
        <w:t xml:space="preserve">The God who governs invisibly is nonetheless governing decisively — and no weapon formed against His covenant people will ultimately prosper, because He turns the instruments of their destruction back on those who wield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Absence of God’s Name and the Question of Providential Reading</w:t>
      </w:r>
    </w:p>
    <w:p>
      <w:pPr>
        <w:pStyle w:val="BodyText"/>
      </w:pPr>
      <w:r>
        <w:t xml:space="preserve">The most significant interpretive issue in Esther is the absence of any explicit reference to God, prayer, or divine action. Some interpreters, particularly from more liberal critical traditions, read this as intentional secularity — a wisdom text about human courage and political savvy, not a theology of providence. On this reading, Esther and Mordecai are celebrated as exemplars of human virtue and shrewd navigation of a hostile empire, and the reversals of the narrative are the product of circumstance, timing, and personal courage rather than divine governance.</w:t>
      </w:r>
    </w:p>
    <w:p>
      <w:pPr>
        <w:pStyle w:val="BodyText"/>
      </w:pPr>
      <w:r>
        <w:t xml:space="preserve">This reading must be</w:t>
      </w:r>
      <w:r>
        <w:t xml:space="preserve"> </w:t>
      </w:r>
      <w:r>
        <w:rPr>
          <w:i/>
          <w:iCs/>
        </w:rPr>
        <w:t xml:space="preserve">refuted</w:t>
      </w:r>
      <w:r>
        <w:t xml:space="preserve">. The literary artistry of the reversals is too precise and too theologically loaded to be accidental — the very gallows Haman built, the very night the king cannot sleep, the very timing of Esther’s banquet invitation. The book participates in a canonical tradition (cf. Genesis 50:20; Psalm 76:10) in which God’s providential governance is precisely</w:t>
      </w:r>
      <w:r>
        <w:t xml:space="preserve"> </w:t>
      </w:r>
      <w:r>
        <w:rPr>
          <w:i/>
          <w:iCs/>
        </w:rPr>
        <w:t xml:space="preserve">hidden</w:t>
      </w:r>
      <w:r>
        <w:t xml:space="preserve"> </w:t>
      </w:r>
      <w:r>
        <w:t xml:space="preserve">governance — working through secondary causes, through human decisions, through historical contingency. The absence of God’s name is not the absence of God; it is the literary signature of a theology of hiddenness. The Reformed reading that God governs providentially through creaturely means is not imposed on the text — it is required by the structure of the narrative itself.</w:t>
      </w:r>
    </w:p>
    <w:p>
      <w:pPr>
        <w:pStyle w:val="BodyText"/>
      </w:pPr>
      <w:r>
        <w:rPr>
          <w:b/>
          <w:bCs/>
        </w:rPr>
        <w:t xml:space="preserve">Esther as Moral Exemplar vs. Recipient of Providence</w:t>
      </w:r>
    </w:p>
    <w:p>
      <w:pPr>
        <w:pStyle w:val="BodyText"/>
      </w:pPr>
      <w:r>
        <w:t xml:space="preserve">A common homiletical tradition treats Esther primarily as a model of courage —</w:t>
      </w:r>
      <w:r>
        <w:t xml:space="preserve"> </w:t>
      </w:r>
      <w:r>
        <w:t xml:space="preserve">“such a time as this”</w:t>
      </w:r>
      <w:r>
        <w:t xml:space="preserve"> </w:t>
      </w:r>
      <w:r>
        <w:t xml:space="preserve">(4:14) becomes the governing interpretive lens, and the book becomes a manual for bold action under pressure. Esther chapter 7 on this reading is primarily about Esther’s courageous accusation of Haman, her willingness to name the enemy at risk to herself.</w:t>
      </w:r>
    </w:p>
    <w:p>
      <w:pPr>
        <w:pStyle w:val="BodyText"/>
      </w:pPr>
      <w:r>
        <w:t xml:space="preserve">This reading</w:t>
      </w:r>
      <w:r>
        <w:t xml:space="preserve"> </w:t>
      </w:r>
      <w:r>
        <w:rPr>
          <w:i/>
          <w:iCs/>
        </w:rPr>
        <w:t xml:space="preserve">acknowledges</w:t>
      </w:r>
      <w:r>
        <w:t xml:space="preserve"> </w:t>
      </w:r>
      <w:r>
        <w:t xml:space="preserve">genuine content — Esther’s courage is real and narratively significant. But it must be</w:t>
      </w:r>
      <w:r>
        <w:t xml:space="preserve"> </w:t>
      </w:r>
      <w:r>
        <w:rPr>
          <w:i/>
          <w:iCs/>
        </w:rPr>
        <w:t xml:space="preserve">qualified</w:t>
      </w:r>
      <w:r>
        <w:t xml:space="preserve"> </w:t>
      </w:r>
      <w:r>
        <w:t xml:space="preserve">substantially. The resolution of chapter 7 does not depend finally on Esther’s courage but on the king’s misreading of Haman’s posture, on a servant’s recollection of an already-prepared gallows, on a cascade of circumstances Esther neither planned nor controlled. The anti-moralism principle is essential here: the primary actor in Esther 7 is not Esther. The narrative is structured so that what appears to be human resolution is, at every critical juncture, governed by something beyond human control. To preach Esther 7 as</w:t>
      </w:r>
      <w:r>
        <w:t xml:space="preserve"> </w:t>
      </w:r>
      <w:r>
        <w:t xml:space="preserve">“be bold like Esther”</w:t>
      </w:r>
      <w:r>
        <w:t xml:space="preserve"> </w:t>
      </w:r>
      <w:r>
        <w:t xml:space="preserve">is to miss the point the narrative is making — namely, that the</w:t>
      </w:r>
      <w:r>
        <w:t xml:space="preserve"> </w:t>
      </w:r>
      <w:r>
        <w:rPr>
          <w:i/>
          <w:iCs/>
        </w:rPr>
        <w:t xml:space="preserve">outcome</w:t>
      </w:r>
      <w:r>
        <w:t xml:space="preserve"> </w:t>
      </w:r>
      <w:r>
        <w:t xml:space="preserve">does not rest on the quality of human courage but on the sovereignty of the God who governs history.</w:t>
      </w:r>
    </w:p>
    <w:p>
      <w:pPr>
        <w:pStyle w:val="BodyText"/>
      </w:pPr>
      <w:r>
        <w:rPr>
          <w:b/>
          <w:bCs/>
        </w:rPr>
        <w:t xml:space="preserve">Dispensational Concerns about Israel and the Church</w:t>
      </w:r>
    </w:p>
    <w:p>
      <w:pPr>
        <w:pStyle w:val="BodyText"/>
      </w:pPr>
      <w:r>
        <w:t xml:space="preserve">Some dispensational readers resist applying Esther to the New Covenant community on grounds that the promises to Israel in the Old Testament cannot be directly transferred to the church. On this reading, Esther is specifically about national Israel’s preservation in exile, and its providential theme belongs to a specific redemptive-historical moment with limited canonical transfer.</w:t>
      </w:r>
    </w:p>
    <w:p>
      <w:pPr>
        <w:pStyle w:val="BodyText"/>
      </w:pPr>
      <w:r>
        <w:t xml:space="preserve">This reading must be</w:t>
      </w:r>
      <w:r>
        <w:t xml:space="preserve"> </w:t>
      </w:r>
      <w:r>
        <w:rPr>
          <w:i/>
          <w:iCs/>
        </w:rPr>
        <w:t xml:space="preserve">qualified</w:t>
      </w:r>
      <w:r>
        <w:t xml:space="preserve">. The dispensational instinct that Esther has a specific historical referent — Jewish preservation in Persia — is correct and important. But the canonical principle that the God who preserved Israel in exile is the same God who preserves His people in every age is not a transfer of promises but a recognition of consistent divine character. The New Testament explicitly applies the pattern of divine preservation and reversal to the church (Romans 8:31–39; 2 Corinthians 4:8–12). The Reformed reading holds that the same covenant God who shielded Esther and Mordecai governs for the sake of His people in every age — not through national-political channels exclusively, but through His sovereign providence over history.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50:20</w:t>
      </w:r>
      <w:r>
        <w:t xml:space="preserve"> </w:t>
      </w:r>
      <w:r>
        <w:t xml:space="preserve">— Joseph’s summary to his brothers:</w:t>
      </w:r>
      <w:r>
        <w:t xml:space="preserve"> </w:t>
      </w:r>
      <w:r>
        <w:t xml:space="preserve">“You intended to harm me, but God intended it for good.”</w:t>
      </w:r>
      <w:r>
        <w:t xml:space="preserve"> </w:t>
      </w:r>
      <w:r>
        <w:t xml:space="preserve">The paradigmatic Old Testament statement of divine reversal — what enemies construct for destruction, God constructs for salvation. Esther 7 is a narrative instance of exactly this pattern.</w:t>
      </w:r>
    </w:p>
    <w:p>
      <w:pPr>
        <w:numPr>
          <w:ilvl w:val="0"/>
          <w:numId w:val="1001"/>
        </w:numPr>
      </w:pPr>
      <w:r>
        <w:rPr>
          <w:b/>
          <w:bCs/>
        </w:rPr>
        <w:t xml:space="preserve">Psalm 76:10</w:t>
      </w:r>
      <w:r>
        <w:t xml:space="preserve"> </w:t>
      </w:r>
      <w:r>
        <w:t xml:space="preserve">—</w:t>
      </w:r>
      <w:r>
        <w:t xml:space="preserve"> </w:t>
      </w:r>
      <w:r>
        <w:t xml:space="preserve">“Surely the wrath of man shall praise you.”</w:t>
      </w:r>
      <w:r>
        <w:t xml:space="preserve"> </w:t>
      </w:r>
      <w:r>
        <w:t xml:space="preserve">The psalmist’s declaration that human opposition is not outside God’s governance but is turned back to His glory — Haman’s wrath against the Jews becomes the occasion for God’s vindication of His people.</w:t>
      </w:r>
    </w:p>
    <w:p>
      <w:pPr>
        <w:numPr>
          <w:ilvl w:val="0"/>
          <w:numId w:val="1001"/>
        </w:numPr>
      </w:pPr>
      <w:r>
        <w:rPr>
          <w:b/>
          <w:bCs/>
        </w:rPr>
        <w:t xml:space="preserve">Proverbs 26:27</w:t>
      </w:r>
      <w:r>
        <w:t xml:space="preserve"> </w:t>
      </w:r>
      <w:r>
        <w:t xml:space="preserve">—</w:t>
      </w:r>
      <w:r>
        <w:t xml:space="preserve"> </w:t>
      </w:r>
      <w:r>
        <w:t xml:space="preserve">“Whoever digs a pit will fall into it, and a stone will come back on him who starts it rolling.”</w:t>
      </w:r>
      <w:r>
        <w:t xml:space="preserve"> </w:t>
      </w:r>
      <w:r>
        <w:t xml:space="preserve">The wisdom tradition’s account of retributive reversal — Haman embodies this proverb with devastating precision; the gallows he built at fifty cubits returns to him.</w:t>
      </w:r>
    </w:p>
    <w:p>
      <w:pPr>
        <w:numPr>
          <w:ilvl w:val="0"/>
          <w:numId w:val="1001"/>
        </w:numPr>
      </w:pPr>
      <w:r>
        <w:rPr>
          <w:b/>
          <w:bCs/>
        </w:rPr>
        <w:t xml:space="preserve">Esther 4:14</w:t>
      </w:r>
      <w:r>
        <w:t xml:space="preserve"> </w:t>
      </w:r>
      <w:r>
        <w:t xml:space="preserve">— Mordecai’s word to Esther that</w:t>
      </w:r>
      <w:r>
        <w:t xml:space="preserve"> </w:t>
      </w:r>
      <w:r>
        <w:t xml:space="preserve">“relief and deliverance will rise for the Jews from another place”</w:t>
      </w:r>
      <w:r>
        <w:t xml:space="preserve"> </w:t>
      </w:r>
      <w:r>
        <w:t xml:space="preserve">— the canonical grounding within the book itself that the source of preservation is not finally human but providential; chapter 7 is the narrative confirmation of Mordecai’s confidence.</w:t>
      </w:r>
    </w:p>
    <w:p>
      <w:pPr>
        <w:numPr>
          <w:ilvl w:val="0"/>
          <w:numId w:val="1001"/>
        </w:numPr>
      </w:pPr>
      <w:r>
        <w:rPr>
          <w:b/>
          <w:bCs/>
        </w:rPr>
        <w:t xml:space="preserve">Romans 8:31</w:t>
      </w:r>
      <w:r>
        <w:t xml:space="preserve"> </w:t>
      </w:r>
      <w:r>
        <w:t xml:space="preserve">—</w:t>
      </w:r>
      <w:r>
        <w:t xml:space="preserve"> </w:t>
      </w:r>
      <w:r>
        <w:t xml:space="preserve">“If God is for us, who can be against us?”</w:t>
      </w:r>
      <w:r>
        <w:t xml:space="preserve"> </w:t>
      </w:r>
      <w:r>
        <w:t xml:space="preserve">— Paul’s New Covenant articulation of the same claim Esther 7 makes narratively: the opposition of enemies, however organized and however deadly, cannot prevail against those whom God is for.</w:t>
      </w:r>
    </w:p>
    <w:p>
      <w:r>
        <w:pict>
          <v:rect style="width:0;height:1.5pt" o:hralign="center" o:hrstd="t" o:hr="t"/>
        </w:pict>
      </w:r>
    </w:p>
    <w:p>
      <w:pPr>
        <w:pStyle w:val="FirstParagraph"/>
      </w:pPr>
      <w:r>
        <w:rPr>
          <w:b/>
          <w:bCs/>
        </w:rPr>
        <w:t xml:space="preserve">Aim:</w:t>
      </w:r>
      <w:r>
        <w:t xml:space="preserve"> </w:t>
      </w:r>
      <w:r>
        <w:t xml:space="preserve">To demonstrate from Esther 7 that the invisible governance of God is decisive governance — producing in the reader settled confidence in divine providence and courageous action in the face of apparent threat.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The king and Haman come to drink with Esther at her second banquet</w:t>
            </w:r>
          </w:p>
        </w:tc>
        <w:tc>
          <w:tcPr/>
          <w:p>
            <w:pPr>
              <w:pStyle w:val="Compact"/>
            </w:pPr>
            <w:r>
              <w:t xml:space="preserve">Third consecutive day of royal attention; the moment deferred twice is now at hand</w:t>
            </w:r>
          </w:p>
        </w:tc>
      </w:tr>
      <w:tr>
        <w:tc>
          <w:tcPr/>
          <w:p>
            <w:pPr>
              <w:pStyle w:val="Compact"/>
            </w:pPr>
            <w:r>
              <w:t xml:space="preserve">7:2</w:t>
            </w:r>
          </w:p>
        </w:tc>
        <w:tc>
          <w:tcPr/>
          <w:p>
            <w:pPr>
              <w:pStyle w:val="Compact"/>
            </w:pPr>
            <w:r>
              <w:t xml:space="preserve">The king presses Esther again:</w:t>
            </w:r>
            <w:r>
              <w:t xml:space="preserve"> </w:t>
            </w:r>
            <w:r>
              <w:t xml:space="preserve">“What is your petition?”</w:t>
            </w:r>
            <w:r>
              <w:t xml:space="preserve"> </w:t>
            </w:r>
            <w:r>
              <w:t xml:space="preserve">— up to half the kingdom</w:t>
            </w:r>
          </w:p>
        </w:tc>
        <w:tc>
          <w:tcPr/>
          <w:p>
            <w:pPr>
              <w:pStyle w:val="Compact"/>
            </w:pPr>
            <w:r>
              <w:t xml:space="preserve">Identical language to 5:3 and 5:6; the king’s repeated pressing is narratively significant</w:t>
            </w:r>
          </w:p>
        </w:tc>
      </w:tr>
      <w:tr>
        <w:tc>
          <w:tcPr/>
          <w:p>
            <w:pPr>
              <w:pStyle w:val="Compact"/>
            </w:pPr>
            <w:r>
              <w:t xml:space="preserve">7:3</w:t>
            </w:r>
          </w:p>
        </w:tc>
        <w:tc>
          <w:tcPr/>
          <w:p>
            <w:pPr>
              <w:pStyle w:val="Compact"/>
            </w:pPr>
            <w:r>
              <w:t xml:space="preserve">Esther finally speaks: her petition is her own life and the life of her people</w:t>
            </w:r>
          </w:p>
        </w:tc>
        <w:tc>
          <w:tcPr/>
          <w:p>
            <w:pPr>
              <w:pStyle w:val="Compact"/>
            </w:pPr>
            <w:r>
              <w:t xml:space="preserve">“If I have found favor”</w:t>
            </w:r>
            <w:r>
              <w:t xml:space="preserve"> </w:t>
            </w:r>
            <w:r>
              <w:t xml:space="preserve">— formal petition language; she stakes everything on this moment</w:t>
            </w:r>
          </w:p>
        </w:tc>
      </w:tr>
      <w:tr>
        <w:tc>
          <w:tcPr/>
          <w:p>
            <w:pPr>
              <w:pStyle w:val="Compact"/>
            </w:pPr>
            <w:r>
              <w:t xml:space="preserve">7:4</w:t>
            </w:r>
          </w:p>
        </w:tc>
        <w:tc>
          <w:tcPr/>
          <w:p>
            <w:pPr>
              <w:pStyle w:val="Compact"/>
            </w:pPr>
            <w:r>
              <w:t xml:space="preserve">She explains: her people have been sold to be destroyed, killed, and annihilated; she would have stayed silent if they had merely been sold as slaves</w:t>
            </w:r>
          </w:p>
        </w:tc>
        <w:tc>
          <w:tcPr/>
          <w:p>
            <w:pPr>
              <w:pStyle w:val="Compact"/>
            </w:pPr>
            <w:r>
              <w:t xml:space="preserve">Direct quotation of Haman’s decree language (3:13); the silence caveat may reflect Esther’s political realism — a lesser injury would not warrant royal intervention</w:t>
            </w:r>
          </w:p>
        </w:tc>
      </w:tr>
      <w:tr>
        <w:tc>
          <w:tcPr/>
          <w:p>
            <w:pPr>
              <w:pStyle w:val="Compact"/>
            </w:pPr>
            <w:r>
              <w:t xml:space="preserve">7:5</w:t>
            </w:r>
          </w:p>
        </w:tc>
        <w:tc>
          <w:tcPr/>
          <w:p>
            <w:pPr>
              <w:pStyle w:val="Compact"/>
            </w:pPr>
            <w:r>
              <w:t xml:space="preserve">The king demands to know who has dared to do this</w:t>
            </w:r>
          </w:p>
        </w:tc>
        <w:tc>
          <w:tcPr/>
          <w:p>
            <w:pPr>
              <w:pStyle w:val="Compact"/>
            </w:pPr>
            <w:r>
              <w:t xml:space="preserve">“Who is he, and where is he?”</w:t>
            </w:r>
            <w:r>
              <w:t xml:space="preserve"> </w:t>
            </w:r>
            <w:r>
              <w:t xml:space="preserve">— the king’s question is explosive; he may not have known the targets of Haman’s decree were the queen’s people</w:t>
            </w:r>
          </w:p>
        </w:tc>
      </w:tr>
      <w:tr>
        <w:tc>
          <w:tcPr/>
          <w:p>
            <w:pPr>
              <w:pStyle w:val="Compact"/>
            </w:pPr>
            <w:r>
              <w:t xml:space="preserve">7:6</w:t>
            </w:r>
          </w:p>
        </w:tc>
        <w:tc>
          <w:tcPr/>
          <w:p>
            <w:pPr>
              <w:pStyle w:val="Compact"/>
            </w:pPr>
            <w:r>
              <w:t xml:space="preserve">Esther names Haman directly:</w:t>
            </w:r>
            <w:r>
              <w:t xml:space="preserve"> </w:t>
            </w:r>
            <w:r>
              <w:t xml:space="preserve">“A foe and enemy! This wicked Haman!”</w:t>
            </w:r>
          </w:p>
        </w:tc>
        <w:tc>
          <w:tcPr/>
          <w:p>
            <w:pPr>
              <w:pStyle w:val="Compact"/>
            </w:pPr>
            <w:r>
              <w:t xml:space="preserve">The accusation is naked, precise, and devastating; Haman is described as terrified before the king and queen</w:t>
            </w:r>
          </w:p>
        </w:tc>
      </w:tr>
      <w:tr>
        <w:tc>
          <w:tcPr/>
          <w:p>
            <w:pPr>
              <w:pStyle w:val="Compact"/>
            </w:pPr>
            <w:r>
              <w:t xml:space="preserve">7:7</w:t>
            </w:r>
          </w:p>
        </w:tc>
        <w:tc>
          <w:tcPr/>
          <w:p>
            <w:pPr>
              <w:pStyle w:val="Compact"/>
            </w:pPr>
            <w:r>
              <w:t xml:space="preserve">The king, furious, goes to the palace garden; Haman stays to beg Esther for his life, knowing the king has determined his fate</w:t>
            </w:r>
          </w:p>
        </w:tc>
        <w:tc>
          <w:tcPr/>
          <w:p>
            <w:pPr>
              <w:pStyle w:val="Compact"/>
            </w:pPr>
            <w:r>
              <w:t xml:space="preserve">The king’s departure is a brief but critical pause — the narrative’s pivot point; Haman grasps that the king’s decision is already made</w:t>
            </w:r>
          </w:p>
        </w:tc>
      </w:tr>
      <w:tr>
        <w:tc>
          <w:tcPr/>
          <w:p>
            <w:pPr>
              <w:pStyle w:val="Compact"/>
            </w:pPr>
            <w:r>
              <w:t xml:space="preserve">7:8</w:t>
            </w:r>
          </w:p>
        </w:tc>
        <w:tc>
          <w:tcPr/>
          <w:p>
            <w:pPr>
              <w:pStyle w:val="Compact"/>
            </w:pPr>
            <w:r>
              <w:t xml:space="preserve">The king returns; Haman has fallen on Esther’s couch; the king interprets this as assault; execution is immediately ordered</w:t>
            </w:r>
          </w:p>
        </w:tc>
        <w:tc>
          <w:tcPr/>
          <w:p>
            <w:pPr>
              <w:pStyle w:val="Compact"/>
            </w:pPr>
            <w:r>
              <w:t xml:space="preserve">A profound irony: Haman’s desperate self-humiliation is misread as the final offense; he is condemned for an act he did not commit — the machinery of his destruction is now running without Esther’s further intervention</w:t>
            </w:r>
          </w:p>
        </w:tc>
      </w:tr>
      <w:tr>
        <w:tc>
          <w:tcPr/>
          <w:p>
            <w:pPr>
              <w:pStyle w:val="Compact"/>
            </w:pPr>
            <w:r>
              <w:t xml:space="preserve">7:9</w:t>
            </w:r>
          </w:p>
        </w:tc>
        <w:tc>
          <w:tcPr/>
          <w:p>
            <w:pPr>
              <w:pStyle w:val="Compact"/>
            </w:pPr>
            <w:r>
              <w:t xml:space="preserve">The servant Harbona mentions the gallows Haman built for Mordecai, still standing at Haman’s house</w:t>
            </w:r>
          </w:p>
        </w:tc>
        <w:tc>
          <w:tcPr/>
          <w:p>
            <w:pPr>
              <w:pStyle w:val="Compact"/>
            </w:pPr>
            <w:r>
              <w:t xml:space="preserve">Providential detail: a minor servant produces the instrument of Haman’s execution; the gallows were fifty cubits high — built for spectacle, now put to its builder</w:t>
            </w:r>
          </w:p>
        </w:tc>
      </w:tr>
      <w:tr>
        <w:tc>
          <w:tcPr/>
          <w:p>
            <w:pPr>
              <w:pStyle w:val="Compact"/>
            </w:pPr>
            <w:r>
              <w:t xml:space="preserve">7:10</w:t>
            </w:r>
          </w:p>
        </w:tc>
        <w:tc>
          <w:tcPr/>
          <w:p>
            <w:pPr>
              <w:pStyle w:val="Compact"/>
            </w:pPr>
            <w:r>
              <w:t xml:space="preserve">Haman is hanged on the gallows he built for Mordecai; the king’s fury subsides</w:t>
            </w:r>
          </w:p>
        </w:tc>
        <w:tc>
          <w:tcPr/>
          <w:p>
            <w:pPr>
              <w:pStyle w:val="Compact"/>
            </w:pPr>
            <w:r>
              <w:t xml:space="preserve">The reversal is complete; the fury that drove the chapter to its climax is resolved not by diplomacy but by the execution of the enemy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7:1–2</w:t>
            </w:r>
          </w:p>
        </w:tc>
        <w:tc>
          <w:tcPr/>
          <w:p>
            <w:pPr>
              <w:pStyle w:val="Compact"/>
            </w:pPr>
            <w:r>
              <w:t xml:space="preserve">The Banquet Resumes: The King Presses for the Petition</w:t>
            </w:r>
          </w:p>
        </w:tc>
      </w:tr>
      <w:tr>
        <w:tc>
          <w:tcPr/>
          <w:p>
            <w:pPr>
              <w:pStyle w:val="Compact"/>
            </w:pPr>
            <w:r>
              <w:t xml:space="preserve">2</w:t>
            </w:r>
          </w:p>
        </w:tc>
        <w:tc>
          <w:tcPr/>
          <w:p>
            <w:pPr>
              <w:pStyle w:val="Compact"/>
            </w:pPr>
            <w:r>
              <w:t xml:space="preserve">7:3–4</w:t>
            </w:r>
          </w:p>
        </w:tc>
        <w:tc>
          <w:tcPr/>
          <w:p>
            <w:pPr>
              <w:pStyle w:val="Compact"/>
            </w:pPr>
            <w:r>
              <w:t xml:space="preserve">Esther Speaks: My Life and My People</w:t>
            </w:r>
          </w:p>
        </w:tc>
      </w:tr>
      <w:tr>
        <w:tc>
          <w:tcPr/>
          <w:p>
            <w:pPr>
              <w:pStyle w:val="Compact"/>
            </w:pPr>
            <w:r>
              <w:t xml:space="preserve">3</w:t>
            </w:r>
          </w:p>
        </w:tc>
        <w:tc>
          <w:tcPr/>
          <w:p>
            <w:pPr>
              <w:pStyle w:val="Compact"/>
            </w:pPr>
            <w:r>
              <w:t xml:space="preserve">7:5–6</w:t>
            </w:r>
          </w:p>
        </w:tc>
        <w:tc>
          <w:tcPr/>
          <w:p>
            <w:pPr>
              <w:pStyle w:val="Compact"/>
            </w:pPr>
            <w:r>
              <w:t xml:space="preserve">The Enemy Named: Haman Exposed</w:t>
            </w:r>
          </w:p>
        </w:tc>
      </w:tr>
      <w:tr>
        <w:tc>
          <w:tcPr/>
          <w:p>
            <w:pPr>
              <w:pStyle w:val="Compact"/>
            </w:pPr>
            <w:r>
              <w:t xml:space="preserve">4</w:t>
            </w:r>
          </w:p>
        </w:tc>
        <w:tc>
          <w:tcPr/>
          <w:p>
            <w:pPr>
              <w:pStyle w:val="Compact"/>
            </w:pPr>
            <w:r>
              <w:t xml:space="preserve">7:7–8</w:t>
            </w:r>
          </w:p>
        </w:tc>
        <w:tc>
          <w:tcPr/>
          <w:p>
            <w:pPr>
              <w:pStyle w:val="Compact"/>
            </w:pPr>
            <w:r>
              <w:t xml:space="preserve">The King’s Wrath and Haman’s Fatal Error</w:t>
            </w:r>
          </w:p>
        </w:tc>
      </w:tr>
      <w:tr>
        <w:tc>
          <w:tcPr/>
          <w:p>
            <w:pPr>
              <w:pStyle w:val="Compact"/>
            </w:pPr>
            <w:r>
              <w:t xml:space="preserve">5</w:t>
            </w:r>
          </w:p>
        </w:tc>
        <w:tc>
          <w:tcPr/>
          <w:p>
            <w:pPr>
              <w:pStyle w:val="Compact"/>
            </w:pPr>
            <w:r>
              <w:t xml:space="preserve">7:9–10</w:t>
            </w:r>
          </w:p>
        </w:tc>
        <w:tc>
          <w:tcPr/>
          <w:p>
            <w:pPr>
              <w:pStyle w:val="Compact"/>
            </w:pPr>
            <w:r>
              <w:t xml:space="preserve">The Gallows Turned: Haman Hanged on His Own Construction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reversal of Haman’s plot vindicates His people and destroys their destroyer.</w:t>
      </w:r>
    </w:p>
    <w:p>
      <w:pPr>
        <w:pStyle w:val="BodyText"/>
      </w:pPr>
      <w:r>
        <w:rPr>
          <w:b/>
          <w:bCs/>
        </w:rPr>
        <w:t xml:space="preserve">Primary Claim:</w:t>
      </w:r>
      <w:r>
        <w:t xml:space="preserve"> </w:t>
      </w:r>
      <w:r>
        <w:t xml:space="preserve">The God who governs invisibly is nonetheless governing decisively — and no weapon formed against His covenant people will ultimately prosper, because He turns the instruments of their destruction back on those who wield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circumstances through the lens of hidden providence, not visible threat.</w:t>
      </w:r>
      <w:r>
        <w:t xml:space="preserve"> </w:t>
      </w:r>
      <w:r>
        <w:rPr>
          <w:i/>
          <w:iCs/>
        </w:rPr>
        <w:t xml:space="preserve">(Mind/belief)</w:t>
      </w:r>
      <w:r>
        <w:t xml:space="preserve"> </w:t>
      </w:r>
      <w:r>
        <w:t xml:space="preserve">Haman’s plot against the Jews looked, from the outside, like a sealed decree — organized, official, legally binding, unstoppable. The reader of Esther 7 knows it was never any of those things, because the God who cannot be named in this story was already at work in the details: the timing, the banquet, the king’s question, a servant’s memory of a set of gallows. The application is not</w:t>
      </w:r>
      <w:r>
        <w:t xml:space="preserve"> </w:t>
      </w:r>
      <w:r>
        <w:t xml:space="preserve">“things usually work out”</w:t>
      </w:r>
      <w:r>
        <w:t xml:space="preserve"> </w:t>
      </w:r>
      <w:r>
        <w:t xml:space="preserve">— it is theologically specific: you are being governed by the same God who governed Esther’s banquet. The threat in front of you is not operating outside His jurisdiction. Reframe your circumstances not by minimizing the threat but by locating it correctly — under the sovereignty of the God who turns instruments of destruction into instruments of deliverance.</w:t>
      </w:r>
    </w:p>
    <w:p>
      <w:pPr>
        <w:pStyle w:val="BodyText"/>
      </w:pPr>
      <w:r>
        <w:rPr>
          <w:b/>
          <w:bCs/>
        </w:rPr>
        <w:t xml:space="preserve">2. Learn to act courageously without requiring guaranteed outcomes.</w:t>
      </w:r>
      <w:r>
        <w:t xml:space="preserve"> </w:t>
      </w:r>
      <w:r>
        <w:rPr>
          <w:i/>
          <w:iCs/>
        </w:rPr>
        <w:t xml:space="preserve">(Will/behavior)</w:t>
      </w:r>
      <w:r>
        <w:t xml:space="preserve"> </w:t>
      </w:r>
      <w:r>
        <w:t xml:space="preserve">Esther could not have known, when she named Haman, that the king would walk out to the garden, that Haman would fall on her couch, that a servant would remember the gallows. She named the enemy because it was right and necessary, not because she had a secured path to victory. The application here is not</w:t>
      </w:r>
      <w:r>
        <w:t xml:space="preserve"> </w:t>
      </w:r>
      <w:r>
        <w:t xml:space="preserve">“be bold and God will fix everything the way you want”</w:t>
      </w:r>
      <w:r>
        <w:t xml:space="preserve"> </w:t>
      </w:r>
      <w:r>
        <w:t xml:space="preserve">— it is</w:t>
      </w:r>
      <w:r>
        <w:t xml:space="preserve"> </w:t>
      </w:r>
      <w:r>
        <w:t xml:space="preserve">“act faithfully with what is in your hands, and release the outcome to the God who governs the rest.”</w:t>
      </w:r>
      <w:r>
        <w:t xml:space="preserve"> </w:t>
      </w:r>
      <w:r>
        <w:t xml:space="preserve">There is a specific decision in front of you — a conversation to have, a wrong to name, a person in danger you can speak for — that you are deferring because you cannot see how it ends. Esther could not either. Do the next right thing.</w:t>
      </w:r>
    </w:p>
    <w:p>
      <w:pPr>
        <w:pStyle w:val="BodyText"/>
      </w:pPr>
      <w:r>
        <w:rPr>
          <w:b/>
          <w:bCs/>
        </w:rPr>
        <w:t xml:space="preserve">3. Grieve and resist the seduction of seeking safety through silence.</w:t>
      </w:r>
      <w:r>
        <w:t xml:space="preserve"> </w:t>
      </w:r>
      <w:r>
        <w:rPr>
          <w:i/>
          <w:iCs/>
        </w:rPr>
        <w:t xml:space="preserve">(Affections/worship)</w:t>
      </w:r>
      <w:r>
        <w:t xml:space="preserve"> </w:t>
      </w:r>
      <w:r>
        <w:t xml:space="preserve">Esther tells the king she would have stayed silent if the injury had been lesser — she distinguishes between a harm she could absorb and a harm that demands speech. But she also tells us, implicitly, how long she waited before she spoke the greater harm. There is a grief appropriate here: for every silence we have kept that we dressed up as prudence, for every Mordecai we left at the gate while we negotiated our own comfort at the banquet, for every moment we treated the injuries of others as less than the threshold requiring our voice. Let the story of Esther’s hard-won courage produce not just admiration but honest self-examination about what voices of protection we are withholding.</w:t>
      </w:r>
    </w:p>
    <w:p>
      <w:pPr>
        <w:pStyle w:val="BodyText"/>
      </w:pPr>
      <w:r>
        <w:rPr>
          <w:b/>
          <w:bCs/>
        </w:rPr>
        <w:t xml:space="preserve">4. Worship the God who governs in the details you do not notice.</w:t>
      </w:r>
      <w:r>
        <w:t xml:space="preserve"> </w:t>
      </w:r>
      <w:r>
        <w:rPr>
          <w:i/>
          <w:iCs/>
        </w:rPr>
        <w:t xml:space="preserve">(Affections/worship)</w:t>
      </w:r>
      <w:r>
        <w:t xml:space="preserve"> </w:t>
      </w:r>
      <w:r>
        <w:t xml:space="preserve">The servant Harbona appears in one verse. He mentions, as if in passing, that there happen to be gallows fifty cubits high standing at Haman’s house, built for Mordecai. The king says,</w:t>
      </w:r>
      <w:r>
        <w:t xml:space="preserve"> </w:t>
      </w:r>
      <w:r>
        <w:t xml:space="preserve">“Hang him on that.”</w:t>
      </w:r>
      <w:r>
        <w:t xml:space="preserve"> </w:t>
      </w:r>
      <w:r>
        <w:t xml:space="preserve">The narrative moves on. Harbona’s one sentence is the instrument of Haman’s execution. This is the theology of Esther: God governs in details you are not watching, through agents you will never formally credit, in moments that read like coincidence. The appropriate response is not mere intellectual acknowledgment — it is worship. Look back over the geography of your own life and find the Harbona moments: the phone call that came when it did, the door that closed, the person who said the one thing. This is not superstition — it is the fruit of a biblical theology of providence. Worship the God who was in those details.</w:t>
      </w:r>
    </w:p>
    <w:p>
      <w:pPr>
        <w:pStyle w:val="BodyText"/>
      </w:pPr>
      <w:r>
        <w:rPr>
          <w:b/>
          <w:bCs/>
        </w:rPr>
        <w:t xml:space="preserve">5. Stop building gallows for others — they have a way of coming home.</w:t>
      </w:r>
      <w:r>
        <w:t xml:space="preserve"> </w:t>
      </w:r>
      <w:r>
        <w:rPr>
          <w:i/>
          <w:iCs/>
        </w:rPr>
        <w:t xml:space="preserve">(Will/behavior)</w:t>
      </w:r>
      <w:r>
        <w:t xml:space="preserve"> </w:t>
      </w:r>
      <w:r>
        <w:t xml:space="preserve">Proverbs 26:27 is the wisdom tradition’s account of what Haman’s fifty-cubit structure demonstrates in narrative form. The application is concrete: the mechanisms we construct to harm, diminish, exclude, or destroy other image-bearers do not stay safely pointed outward. Haman’s gallows did not harm Mordecai for a single day. Examine what structures of harm you are building — in relationships, in professional life, in the way you speak about people behind their backs, in the leverage you are accumulating over others. These are Haman’s gallows. They are standing in your own courtyard.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Esther 7 is a concentrated display of divine providence operating through secondary causes — human decisions, misreadings, coincidental details, and the cascade of circumstances that no human actor fully controlled. The passage teaches that God’s governance of history is not suspended when His name is absent from the conversation, and that His commitment to the preservation of His covenant people does not depend on the quality of their faith or the clarity of their prayer. The reversal at the center of chapter 7 — Haman hanged on the gallows he built — is not a lucky accident but the outworking of a moral structure woven into creation by the Creator: those who set themselves against the people of God set themselves against God Himself, and the instruments of their malice will be turned back on them. This is not karma; it is covenant. The God who is for His people is a consuming fire against those who are against them — and He governs even the details of a Persian banquet to accomplish His purposes.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robust doctrine of divine providence finds one of its most vivid narrative illustrations in Esther 7. Calvin’s account of providence — that God governs not only the great movements of history but the smallest details, that nothing falls outside His purposive will, that what appears to be fortune is in fact the hand of God working through creaturely means — reads like a commentary on this chapter. The theological payoff is not merely intellectual but pastoral: the Reformed believer need not see the hand of God for it to be there; the silence of God in the text is not the silence of God in the event. Furthermore, the complete reversal of Haman’s scheme — the enemy destroyed by his own machinery — is a pattern that reaches its apex in the cross of Christ, where the greatest attempt to destroy the Son of God became the instrument of the world’s redemption. Esther 7 is a pre-figuration of Good Friday’s logic: the enemy’s instrument of destruction becomes the ground of the covenant people’s salvation. To preach Esther 7 in the Reformed tradition is to preach toward Golgotha.</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never appears by name in this story was governing every detail of it — and He is governing every detail of yours. Haman built gallows for God’s people and was hanged on them before the week was out. No scheme against you that stands outside God’s jurisdiction can finally prosper, because there is no such scheme. Stop living as though the enemy’s plan is the final word. It never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Esther as a moral hero rather than a recipient of providence.</w:t>
      </w:r>
      <w:r>
        <w:t xml:space="preserve"> </w:t>
      </w:r>
      <w:r>
        <w:t xml:space="preserve">The most common homiletical failure in Esther 7 is to make Esther the protagonist in a story about courage. Esther’s courage is real — but the decisive moments of chapter 7 (the king’s walk to the garden, Haman’s fatal posture, Harbona’s one-sentence contribution, the ready-made gallows) are entirely outside her control. A sermon that ends with</w:t>
      </w:r>
      <w:r>
        <w:t xml:space="preserve"> </w:t>
      </w:r>
      <w:r>
        <w:t xml:space="preserve">“be bold like Esther”</w:t>
      </w:r>
      <w:r>
        <w:t xml:space="preserve"> </w:t>
      </w:r>
      <w:r>
        <w:t xml:space="preserve">has turned a theology of divine reversal into a character-formation lecture. The protagonist of Esther 7 is the invisible God. Preach Him.</w:t>
      </w:r>
    </w:p>
    <w:p>
      <w:pPr>
        <w:numPr>
          <w:ilvl w:val="0"/>
          <w:numId w:val="1002"/>
        </w:numPr>
      </w:pPr>
      <w:r>
        <w:rPr>
          <w:b/>
          <w:bCs/>
        </w:rPr>
        <w:t xml:space="preserve">Treating the absence of God’s name as theological irrelevance.</w:t>
      </w:r>
      <w:r>
        <w:t xml:space="preserve"> </w:t>
      </w:r>
      <w:r>
        <w:t xml:space="preserve">The book of Esther is sometimes taught in ways that treat the God-question as peripheral — the story is</w:t>
      </w:r>
      <w:r>
        <w:t xml:space="preserve"> </w:t>
      </w:r>
      <w:r>
        <w:t xml:space="preserve">“really about”</w:t>
      </w:r>
      <w:r>
        <w:t xml:space="preserve"> </w:t>
      </w:r>
      <w:r>
        <w:t xml:space="preserve">human courage, political savvy, or ethnic solidarity. This misses the book’s entire theological program. The absence of God’s name is not his absence from the narrative; it is the literary strategy of a theology of hiddenness. Preach the silence as evidence of a specific kind of divine presence — the providential governance that works through secondary causes precisely because it does not need to break into events supernaturally to accomplish its purposes.</w:t>
      </w:r>
    </w:p>
    <w:p>
      <w:pPr>
        <w:numPr>
          <w:ilvl w:val="0"/>
          <w:numId w:val="1002"/>
        </w:numPr>
      </w:pPr>
      <w:r>
        <w:rPr>
          <w:b/>
          <w:bCs/>
        </w:rPr>
        <w:t xml:space="preserve">Missing the irony of the reversal as load-bearing theology.</w:t>
      </w:r>
      <w:r>
        <w:t xml:space="preserve"> </w:t>
      </w:r>
      <w:r>
        <w:t xml:space="preserve">The gallows Haman built, the accusation that brought him down, the very banquet that exposed him — these reversals are not just satisfying narrative justice. They carry theological freight: the instruments of the enemy’s malice are turned to serve God’s purposes. If the preacher moves past the gallows detail too quickly (treating verse 9 as plot logistics rather than theological statement), the congregation loses the most vivid picture in the chapter of how God governs. Slow down at verse 9. That is the sermon’s theological center.</w:t>
      </w:r>
    </w:p>
    <w:p>
      <w:pPr>
        <w:numPr>
          <w:ilvl w:val="0"/>
          <w:numId w:val="1002"/>
        </w:numPr>
      </w:pPr>
      <w:r>
        <w:rPr>
          <w:b/>
          <w:bCs/>
        </w:rPr>
        <w:t xml:space="preserve">Moralizing the</w:t>
      </w:r>
      <w:r>
        <w:rPr>
          <w:b/>
          <w:bCs/>
        </w:rPr>
        <w:t xml:space="preserve"> </w:t>
      </w:r>
      <w:r>
        <w:rPr>
          <w:b/>
          <w:bCs/>
        </w:rPr>
        <w:t xml:space="preserve">“such a time as this”</w:t>
      </w:r>
      <w:r>
        <w:rPr>
          <w:b/>
          <w:bCs/>
        </w:rPr>
        <w:t xml:space="preserve"> </w:t>
      </w:r>
      <w:r>
        <w:rPr>
          <w:b/>
          <w:bCs/>
        </w:rPr>
        <w:t xml:space="preserve">principle (imported from chapter 4) into chapter 7.</w:t>
      </w:r>
      <w:r>
        <w:t xml:space="preserve"> </w:t>
      </w:r>
      <w:r>
        <w:t xml:space="preserve">Mordecai’s famous words are not in Esther 7, but they frequently get imported into expositions of the chapter as its governing framework. This can produce a sermon about seizing your moment, stepping into your purpose, and maximizing your platform — a therapeutic-cultural reading that domesticates the passage’s actual claim. The claim is not</w:t>
      </w:r>
      <w:r>
        <w:t xml:space="preserve"> </w:t>
      </w:r>
      <w:r>
        <w:t xml:space="preserve">“you have a purpose to fulfill.”</w:t>
      </w:r>
      <w:r>
        <w:t xml:space="preserve"> </w:t>
      </w:r>
      <w:r>
        <w:t xml:space="preserve">The claim is</w:t>
      </w:r>
      <w:r>
        <w:t xml:space="preserve"> </w:t>
      </w:r>
      <w:r>
        <w:t xml:space="preserve">“God’s purposes cannot be stopped, and the courage He calls you to is grounded in that fact, not in your own sense of mission.”</w:t>
      </w:r>
    </w:p>
    <w:p>
      <w:pPr>
        <w:numPr>
          <w:ilvl w:val="0"/>
          <w:numId w:val="1002"/>
        </w:numPr>
      </w:pPr>
      <w:r>
        <w:rPr>
          <w:b/>
          <w:bCs/>
        </w:rPr>
        <w:t xml:space="preserve">Universalizing the reversal as a promise of earthly vindication.</w:t>
      </w:r>
      <w:r>
        <w:t xml:space="preserve"> </w:t>
      </w:r>
      <w:r>
        <w:t xml:space="preserve">Some applications of Esther’s reversal slip into an implicit prosperity theology: name your enemy boldly and God will fix it for you this side of glory. The pattern of divine reversal in Esther is real and is canonically grounded — but it is not a guarantee of temporal resolution. The New Testament is filled with accounts of faithfulness without earthly vindication (Hebrews 11:35–38). Preach Esther 7’s reversal as a genuine and recurring pattern of God’s providential governance, not as a formula for personal victory.</w:t>
      </w:r>
    </w:p>
    <w:p>
      <w:pPr>
        <w:numPr>
          <w:ilvl w:val="0"/>
          <w:numId w:val="1002"/>
        </w:numPr>
      </w:pPr>
      <w:r>
        <w:rPr>
          <w:b/>
          <w:bCs/>
        </w:rPr>
        <w:t xml:space="preserve">Neglecting the cross-shaped shadow the reversal casts.</w:t>
      </w:r>
      <w:r>
        <w:t xml:space="preserve"> </w:t>
      </w:r>
      <w:r>
        <w:t xml:space="preserve">Esther 7’s pattern — enemy constructs the instrument of destruction, the instrument turns back on the enemy, God’s people are saved — is the pattern of the cross. Haman on his own gallows is a distant, pre-figuring echo of the defeat of sin and death at Golgotha, where the enemy’s weapon (death) became the means of the enemy’s defeat. A Reformed exposition of Esther 7 that does not at least gesture toward this canonical resonance has left the passage’s fullest theological significance unexplored.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2026-07-14T21:03:49Z</dcterms:created>
  <dcterms:modified xsi:type="dcterms:W3CDTF">2026-07-14T21:03:49Z</dcterms:modified>
</cp:coreProperties>
</file>

<file path=docProps/custom.xml><?xml version="1.0" encoding="utf-8"?>
<Properties xmlns="http://schemas.openxmlformats.org/officeDocument/2006/custom-properties" xmlns:vt="http://schemas.openxmlformats.org/officeDocument/2006/docPropsVTypes"/>
</file>